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DC22" w14:textId="551C411E" w:rsidR="00594059" w:rsidRPr="002A62B7" w:rsidRDefault="00594059" w:rsidP="00594059">
      <w:pPr>
        <w:keepNext/>
        <w:spacing w:before="240" w:after="60" w:line="240" w:lineRule="auto"/>
        <w:jc w:val="center"/>
        <w:outlineLvl w:val="0"/>
        <w:rPr>
          <w:rFonts w:ascii="Calibri" w:eastAsia="Times New Roman" w:hAnsi="Calibri" w:cs="Arial"/>
          <w:b/>
          <w:bCs/>
          <w:sz w:val="24"/>
          <w:szCs w:val="28"/>
        </w:rPr>
      </w:pPr>
      <w:bookmarkStart w:id="0" w:name="_Toc534281345"/>
      <w:r>
        <w:rPr>
          <w:rFonts w:ascii="Calibri" w:eastAsia="Times New Roman" w:hAnsi="Calibri" w:cs="Arial"/>
          <w:b/>
          <w:bCs/>
          <w:kern w:val="32"/>
          <w:sz w:val="24"/>
          <w:szCs w:val="28"/>
        </w:rPr>
        <w:t>###</w:t>
      </w:r>
      <w:r w:rsidR="0039197D">
        <w:rPr>
          <w:rFonts w:ascii="Calibri" w:eastAsia="Times New Roman" w:hAnsi="Calibri" w:cs="Arial"/>
          <w:b/>
          <w:bCs/>
          <w:kern w:val="32"/>
          <w:sz w:val="24"/>
          <w:szCs w:val="28"/>
        </w:rPr>
        <w:t xml:space="preserve"> Medication Administration/Medical Treatment Procedure</w:t>
      </w:r>
      <w:r w:rsidRPr="002A62B7">
        <w:rPr>
          <w:rFonts w:ascii="Calibri" w:eastAsia="Times New Roman" w:hAnsi="Calibri" w:cs="Arial"/>
          <w:b/>
          <w:bCs/>
          <w:sz w:val="24"/>
          <w:szCs w:val="28"/>
        </w:rPr>
        <w:tab/>
      </w:r>
      <w:bookmarkEnd w:id="0"/>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87"/>
        <w:gridCol w:w="1687"/>
        <w:gridCol w:w="1687"/>
        <w:gridCol w:w="2099"/>
        <w:gridCol w:w="849"/>
      </w:tblGrid>
      <w:tr w:rsidR="00020082" w:rsidRPr="00A553DB" w14:paraId="7D9384EA" w14:textId="77777777" w:rsidTr="007E7D7C">
        <w:tc>
          <w:tcPr>
            <w:tcW w:w="1594" w:type="dxa"/>
          </w:tcPr>
          <w:p w14:paraId="3A7EB295" w14:textId="77777777" w:rsidR="00594059" w:rsidRPr="00A553DB" w:rsidRDefault="00594059" w:rsidP="003B2F4C">
            <w:pPr>
              <w:spacing w:after="0" w:line="240" w:lineRule="auto"/>
              <w:jc w:val="center"/>
              <w:rPr>
                <w:rFonts w:ascii="Calibri" w:eastAsia="Times New Roman" w:hAnsi="Calibri" w:cs="Times New Roman"/>
                <w:b/>
                <w:szCs w:val="28"/>
              </w:rPr>
            </w:pPr>
            <w:r w:rsidRPr="00A553DB">
              <w:rPr>
                <w:rFonts w:ascii="Calibri" w:eastAsia="Times New Roman" w:hAnsi="Calibri" w:cs="Times New Roman"/>
                <w:b/>
                <w:szCs w:val="28"/>
              </w:rPr>
              <w:t>Section</w:t>
            </w:r>
          </w:p>
        </w:tc>
        <w:tc>
          <w:tcPr>
            <w:tcW w:w="1728" w:type="dxa"/>
          </w:tcPr>
          <w:p w14:paraId="2995DABE" w14:textId="77777777" w:rsidR="00594059" w:rsidRPr="00A553DB" w:rsidRDefault="00594059" w:rsidP="003B2F4C">
            <w:pPr>
              <w:spacing w:after="0" w:line="240" w:lineRule="auto"/>
              <w:jc w:val="center"/>
              <w:rPr>
                <w:rFonts w:ascii="Calibri" w:eastAsia="Times New Roman" w:hAnsi="Calibri" w:cs="Times New Roman"/>
                <w:b/>
                <w:szCs w:val="28"/>
              </w:rPr>
            </w:pPr>
            <w:r w:rsidRPr="00A553DB">
              <w:rPr>
                <w:rFonts w:ascii="Calibri" w:eastAsia="Times New Roman" w:hAnsi="Calibri" w:cs="Times New Roman"/>
                <w:b/>
                <w:szCs w:val="28"/>
              </w:rPr>
              <w:t>Initiated</w:t>
            </w:r>
          </w:p>
        </w:tc>
        <w:tc>
          <w:tcPr>
            <w:tcW w:w="1728" w:type="dxa"/>
          </w:tcPr>
          <w:p w14:paraId="74F571FA" w14:textId="77777777" w:rsidR="00594059" w:rsidRPr="00A553DB" w:rsidRDefault="00594059" w:rsidP="003B2F4C">
            <w:pPr>
              <w:spacing w:after="0" w:line="240" w:lineRule="auto"/>
              <w:jc w:val="center"/>
              <w:rPr>
                <w:rFonts w:ascii="Calibri" w:eastAsia="Times New Roman" w:hAnsi="Calibri" w:cs="Times New Roman"/>
                <w:b/>
                <w:szCs w:val="28"/>
              </w:rPr>
            </w:pPr>
            <w:r w:rsidRPr="00A553DB">
              <w:rPr>
                <w:rFonts w:ascii="Calibri" w:eastAsia="Times New Roman" w:hAnsi="Calibri" w:cs="Times New Roman"/>
                <w:b/>
                <w:szCs w:val="28"/>
              </w:rPr>
              <w:t>Last Update</w:t>
            </w:r>
          </w:p>
        </w:tc>
        <w:tc>
          <w:tcPr>
            <w:tcW w:w="1728" w:type="dxa"/>
          </w:tcPr>
          <w:p w14:paraId="0722848D" w14:textId="77777777" w:rsidR="00594059" w:rsidRPr="00A553DB" w:rsidRDefault="00594059" w:rsidP="003B2F4C">
            <w:pPr>
              <w:spacing w:after="0" w:line="240" w:lineRule="auto"/>
              <w:jc w:val="center"/>
              <w:rPr>
                <w:rFonts w:ascii="Calibri" w:eastAsia="Times New Roman" w:hAnsi="Calibri" w:cs="Times New Roman"/>
                <w:b/>
                <w:szCs w:val="28"/>
              </w:rPr>
            </w:pPr>
            <w:r w:rsidRPr="00A553DB">
              <w:rPr>
                <w:rFonts w:ascii="Calibri" w:eastAsia="Times New Roman" w:hAnsi="Calibri" w:cs="Times New Roman"/>
                <w:b/>
                <w:szCs w:val="28"/>
              </w:rPr>
              <w:t>Last Review</w:t>
            </w:r>
          </w:p>
        </w:tc>
        <w:tc>
          <w:tcPr>
            <w:tcW w:w="2160" w:type="dxa"/>
          </w:tcPr>
          <w:p w14:paraId="5243CB18" w14:textId="3AB84C0A" w:rsidR="00594059" w:rsidRPr="00A553DB" w:rsidRDefault="00020082" w:rsidP="003B2F4C">
            <w:pPr>
              <w:spacing w:after="0" w:line="240" w:lineRule="auto"/>
              <w:jc w:val="center"/>
              <w:rPr>
                <w:rFonts w:ascii="Calibri" w:eastAsia="Times New Roman" w:hAnsi="Calibri" w:cs="Times New Roman"/>
                <w:b/>
                <w:szCs w:val="28"/>
              </w:rPr>
            </w:pPr>
            <w:r>
              <w:rPr>
                <w:rFonts w:ascii="Calibri" w:eastAsia="Times New Roman" w:hAnsi="Calibri" w:cs="Times New Roman"/>
                <w:b/>
                <w:szCs w:val="28"/>
              </w:rPr>
              <w:t xml:space="preserve">Related </w:t>
            </w:r>
            <w:r w:rsidR="007E7D7C">
              <w:rPr>
                <w:rFonts w:ascii="Calibri" w:eastAsia="Times New Roman" w:hAnsi="Calibri" w:cs="Times New Roman"/>
                <w:b/>
                <w:szCs w:val="28"/>
              </w:rPr>
              <w:t>P</w:t>
            </w:r>
            <w:r w:rsidR="0039197D">
              <w:rPr>
                <w:rFonts w:ascii="Calibri" w:eastAsia="Times New Roman" w:hAnsi="Calibri" w:cs="Times New Roman"/>
                <w:b/>
                <w:szCs w:val="28"/>
              </w:rPr>
              <w:t>olicy/Form</w:t>
            </w:r>
          </w:p>
        </w:tc>
        <w:tc>
          <w:tcPr>
            <w:tcW w:w="864" w:type="dxa"/>
          </w:tcPr>
          <w:p w14:paraId="0DD34890" w14:textId="77777777" w:rsidR="00594059" w:rsidRPr="00A553DB" w:rsidRDefault="00594059" w:rsidP="003B2F4C">
            <w:pPr>
              <w:spacing w:after="0" w:line="240" w:lineRule="auto"/>
              <w:jc w:val="center"/>
              <w:rPr>
                <w:rFonts w:ascii="Calibri" w:eastAsia="Times New Roman" w:hAnsi="Calibri" w:cs="Times New Roman"/>
                <w:b/>
                <w:szCs w:val="28"/>
              </w:rPr>
            </w:pPr>
            <w:r w:rsidRPr="00A553DB">
              <w:rPr>
                <w:rFonts w:ascii="Calibri" w:eastAsia="Times New Roman" w:hAnsi="Calibri" w:cs="Times New Roman"/>
                <w:b/>
                <w:szCs w:val="28"/>
              </w:rPr>
              <w:t>Page</w:t>
            </w:r>
          </w:p>
        </w:tc>
      </w:tr>
      <w:tr w:rsidR="00020082" w:rsidRPr="00A553DB" w14:paraId="14CC2B5F" w14:textId="77777777" w:rsidTr="007E7D7C">
        <w:trPr>
          <w:trHeight w:val="58"/>
        </w:trPr>
        <w:tc>
          <w:tcPr>
            <w:tcW w:w="1594" w:type="dxa"/>
          </w:tcPr>
          <w:p w14:paraId="1F5F0596" w14:textId="2D2F008E" w:rsidR="00594059" w:rsidRPr="00A553DB" w:rsidRDefault="0039197D" w:rsidP="003B2F4C">
            <w:pPr>
              <w:spacing w:after="0" w:line="240" w:lineRule="auto"/>
              <w:jc w:val="center"/>
              <w:rPr>
                <w:rFonts w:ascii="Calibri" w:eastAsia="Times New Roman" w:hAnsi="Calibri" w:cs="Times New Roman"/>
                <w:szCs w:val="28"/>
              </w:rPr>
            </w:pPr>
            <w:r>
              <w:rPr>
                <w:rFonts w:ascii="Calibri" w:eastAsia="Times New Roman" w:hAnsi="Calibri" w:cs="Times New Roman"/>
                <w:szCs w:val="28"/>
              </w:rPr>
              <w:t>Program</w:t>
            </w:r>
          </w:p>
        </w:tc>
        <w:tc>
          <w:tcPr>
            <w:tcW w:w="1728" w:type="dxa"/>
          </w:tcPr>
          <w:p w14:paraId="1B6619A5" w14:textId="45B63F32" w:rsidR="00594059" w:rsidRPr="00A553DB" w:rsidRDefault="007E7D7C" w:rsidP="003B2F4C">
            <w:pPr>
              <w:spacing w:after="0" w:line="240" w:lineRule="auto"/>
              <w:jc w:val="center"/>
              <w:rPr>
                <w:rFonts w:ascii="Calibri" w:eastAsia="Times New Roman" w:hAnsi="Calibri" w:cs="Times New Roman"/>
                <w:szCs w:val="28"/>
              </w:rPr>
            </w:pPr>
            <w:r>
              <w:rPr>
                <w:rFonts w:ascii="Calibri" w:eastAsia="Times New Roman" w:hAnsi="Calibri" w:cs="Times New Roman"/>
                <w:szCs w:val="28"/>
              </w:rPr>
              <w:t>November 2021</w:t>
            </w:r>
          </w:p>
        </w:tc>
        <w:tc>
          <w:tcPr>
            <w:tcW w:w="1728" w:type="dxa"/>
          </w:tcPr>
          <w:p w14:paraId="36F293BA" w14:textId="66E72D6F" w:rsidR="00594059" w:rsidRPr="00A553DB" w:rsidRDefault="007E7D7C" w:rsidP="003B2F4C">
            <w:pPr>
              <w:spacing w:after="0" w:line="240" w:lineRule="auto"/>
              <w:jc w:val="center"/>
              <w:rPr>
                <w:rFonts w:ascii="Calibri" w:eastAsia="Times New Roman" w:hAnsi="Calibri" w:cs="Times New Roman"/>
                <w:szCs w:val="28"/>
              </w:rPr>
            </w:pPr>
            <w:r>
              <w:rPr>
                <w:rFonts w:ascii="Calibri" w:eastAsia="Times New Roman" w:hAnsi="Calibri" w:cs="Times New Roman"/>
                <w:szCs w:val="28"/>
              </w:rPr>
              <w:t>November 2021</w:t>
            </w:r>
          </w:p>
        </w:tc>
        <w:tc>
          <w:tcPr>
            <w:tcW w:w="1728" w:type="dxa"/>
          </w:tcPr>
          <w:p w14:paraId="131A16AC" w14:textId="2DB51BE1" w:rsidR="00594059" w:rsidRPr="00A553DB" w:rsidRDefault="007E7D7C" w:rsidP="003B2F4C">
            <w:pPr>
              <w:spacing w:after="0" w:line="240" w:lineRule="auto"/>
              <w:jc w:val="center"/>
              <w:rPr>
                <w:rFonts w:ascii="Calibri" w:eastAsia="Times New Roman" w:hAnsi="Calibri" w:cs="Times New Roman"/>
                <w:szCs w:val="28"/>
              </w:rPr>
            </w:pPr>
            <w:r>
              <w:rPr>
                <w:rFonts w:ascii="Calibri" w:eastAsia="Times New Roman" w:hAnsi="Calibri" w:cs="Times New Roman"/>
                <w:szCs w:val="28"/>
              </w:rPr>
              <w:t>November 2021</w:t>
            </w:r>
          </w:p>
        </w:tc>
        <w:tc>
          <w:tcPr>
            <w:tcW w:w="2160" w:type="dxa"/>
          </w:tcPr>
          <w:p w14:paraId="6AE47EA0" w14:textId="77777777" w:rsidR="00594059" w:rsidRPr="00A553DB" w:rsidRDefault="00594059" w:rsidP="003B2F4C">
            <w:pPr>
              <w:spacing w:after="0" w:line="240" w:lineRule="auto"/>
              <w:jc w:val="center"/>
              <w:rPr>
                <w:rFonts w:ascii="Calibri" w:eastAsia="Times New Roman" w:hAnsi="Calibri" w:cs="Times New Roman"/>
                <w:szCs w:val="28"/>
              </w:rPr>
            </w:pPr>
          </w:p>
        </w:tc>
        <w:tc>
          <w:tcPr>
            <w:tcW w:w="864" w:type="dxa"/>
          </w:tcPr>
          <w:p w14:paraId="5ADABE87" w14:textId="5C90BC68" w:rsidR="00594059" w:rsidRPr="00A553DB" w:rsidRDefault="007E7D7C" w:rsidP="003B2F4C">
            <w:pPr>
              <w:spacing w:after="0" w:line="240" w:lineRule="auto"/>
              <w:jc w:val="center"/>
              <w:rPr>
                <w:rFonts w:ascii="Calibri" w:eastAsia="Times New Roman" w:hAnsi="Calibri" w:cs="Times New Roman"/>
                <w:szCs w:val="28"/>
              </w:rPr>
            </w:pPr>
            <w:r>
              <w:rPr>
                <w:rFonts w:ascii="Calibri" w:eastAsia="Times New Roman" w:hAnsi="Calibri" w:cs="Times New Roman"/>
                <w:szCs w:val="28"/>
              </w:rPr>
              <w:t>1 of 1</w:t>
            </w:r>
          </w:p>
        </w:tc>
      </w:tr>
    </w:tbl>
    <w:p w14:paraId="77A88552" w14:textId="77777777" w:rsidR="00594059" w:rsidRPr="002A62B7" w:rsidRDefault="00594059" w:rsidP="00594059">
      <w:pPr>
        <w:spacing w:after="0" w:line="240" w:lineRule="auto"/>
        <w:rPr>
          <w:rFonts w:ascii="Calibri" w:eastAsia="Times New Roman" w:hAnsi="Calibri" w:cs="Times New Roman"/>
          <w:sz w:val="20"/>
          <w:szCs w:val="28"/>
        </w:rPr>
      </w:pPr>
    </w:p>
    <w:p w14:paraId="170F8245" w14:textId="7F352325" w:rsidR="00594059" w:rsidRDefault="00594059" w:rsidP="00594059">
      <w:pPr>
        <w:spacing w:after="0" w:line="240" w:lineRule="auto"/>
        <w:rPr>
          <w:rFonts w:ascii="Calibri" w:eastAsia="Times New Roman" w:hAnsi="Calibri" w:cs="Times New Roman"/>
          <w:b/>
          <w:sz w:val="24"/>
          <w:szCs w:val="28"/>
        </w:rPr>
      </w:pPr>
      <w:r w:rsidRPr="002A62B7">
        <w:rPr>
          <w:rFonts w:ascii="Calibri" w:eastAsia="Times New Roman" w:hAnsi="Calibri" w:cs="Times New Roman"/>
          <w:b/>
          <w:sz w:val="24"/>
          <w:szCs w:val="28"/>
        </w:rPr>
        <w:t>Purpose:</w:t>
      </w:r>
    </w:p>
    <w:p w14:paraId="3492414C" w14:textId="32A330E8" w:rsidR="0039197D" w:rsidRDefault="0039197D" w:rsidP="00594059">
      <w:pPr>
        <w:spacing w:after="0" w:line="240" w:lineRule="auto"/>
        <w:rPr>
          <w:rFonts w:ascii="Calibri" w:eastAsia="Times New Roman" w:hAnsi="Calibri" w:cs="Times New Roman"/>
          <w:bCs/>
          <w:sz w:val="20"/>
          <w:szCs w:val="20"/>
        </w:rPr>
      </w:pPr>
      <w:r>
        <w:rPr>
          <w:rFonts w:ascii="Calibri" w:eastAsia="Times New Roman" w:hAnsi="Calibri" w:cs="Times New Roman"/>
          <w:bCs/>
          <w:sz w:val="20"/>
          <w:szCs w:val="20"/>
        </w:rPr>
        <w:t>To provide guidelines</w:t>
      </w:r>
      <w:r w:rsidRPr="0039197D">
        <w:t xml:space="preserve"> </w:t>
      </w:r>
      <w:r w:rsidRPr="0039197D">
        <w:rPr>
          <w:rFonts w:ascii="Calibri" w:hAnsi="Calibri" w:cs="Calibri"/>
          <w:sz w:val="20"/>
          <w:szCs w:val="20"/>
        </w:rPr>
        <w:t xml:space="preserve">to </w:t>
      </w:r>
      <w:r w:rsidRPr="0039197D">
        <w:rPr>
          <w:rFonts w:ascii="Calibri" w:hAnsi="Calibri" w:cs="Calibri"/>
          <w:sz w:val="20"/>
          <w:szCs w:val="20"/>
        </w:rPr>
        <w:t>promote the health and safety of participants by ensuring the safe assistance and administration of medication and treatments or other necessary procedures</w:t>
      </w:r>
      <w:r w:rsidR="00B67433">
        <w:rPr>
          <w:rFonts w:ascii="Calibri" w:hAnsi="Calibri" w:cs="Calibri"/>
          <w:sz w:val="20"/>
          <w:szCs w:val="20"/>
        </w:rPr>
        <w:t>.</w:t>
      </w:r>
      <w:r w:rsidRPr="0039197D">
        <w:rPr>
          <w:rFonts w:ascii="Calibri" w:eastAsia="Times New Roman" w:hAnsi="Calibri" w:cs="Calibri"/>
          <w:bCs/>
          <w:sz w:val="20"/>
          <w:szCs w:val="20"/>
        </w:rPr>
        <w:t xml:space="preserve"> </w:t>
      </w:r>
    </w:p>
    <w:p w14:paraId="2B6FF2FA" w14:textId="77777777" w:rsidR="0039197D" w:rsidRPr="0039197D" w:rsidRDefault="0039197D" w:rsidP="00594059">
      <w:pPr>
        <w:spacing w:after="0" w:line="240" w:lineRule="auto"/>
        <w:rPr>
          <w:rFonts w:ascii="Calibri" w:eastAsia="Times New Roman" w:hAnsi="Calibri" w:cs="Times New Roman"/>
          <w:bCs/>
          <w:sz w:val="20"/>
          <w:szCs w:val="20"/>
        </w:rPr>
      </w:pPr>
    </w:p>
    <w:p w14:paraId="69432441" w14:textId="40DA35F0" w:rsidR="00594059" w:rsidRDefault="00594059" w:rsidP="00594059">
      <w:pPr>
        <w:spacing w:after="0" w:line="240" w:lineRule="auto"/>
        <w:rPr>
          <w:rFonts w:ascii="Calibri" w:eastAsia="Times New Roman" w:hAnsi="Calibri" w:cs="Times New Roman"/>
          <w:b/>
          <w:sz w:val="24"/>
          <w:szCs w:val="28"/>
        </w:rPr>
      </w:pPr>
      <w:r w:rsidRPr="002A62B7">
        <w:rPr>
          <w:rFonts w:ascii="Calibri" w:eastAsia="Times New Roman" w:hAnsi="Calibri" w:cs="Times New Roman"/>
          <w:b/>
          <w:sz w:val="24"/>
          <w:szCs w:val="28"/>
        </w:rPr>
        <w:t>Scope:</w:t>
      </w:r>
    </w:p>
    <w:p w14:paraId="4FD2B98A" w14:textId="416C7442" w:rsidR="00594059" w:rsidRDefault="0039197D" w:rsidP="00594059">
      <w:pPr>
        <w:spacing w:after="0" w:line="240" w:lineRule="auto"/>
        <w:rPr>
          <w:rFonts w:ascii="Calibri" w:eastAsia="Times New Roman" w:hAnsi="Calibri" w:cs="Times New Roman"/>
          <w:bCs/>
          <w:sz w:val="20"/>
          <w:szCs w:val="28"/>
        </w:rPr>
      </w:pPr>
      <w:r>
        <w:rPr>
          <w:rFonts w:ascii="Calibri" w:eastAsia="Times New Roman" w:hAnsi="Calibri" w:cs="Times New Roman"/>
          <w:bCs/>
          <w:sz w:val="20"/>
          <w:szCs w:val="28"/>
        </w:rPr>
        <w:t>All Employees</w:t>
      </w:r>
    </w:p>
    <w:p w14:paraId="78B4E45C" w14:textId="77777777" w:rsidR="0039197D" w:rsidRPr="0039197D" w:rsidRDefault="0039197D" w:rsidP="00594059">
      <w:pPr>
        <w:spacing w:after="0" w:line="240" w:lineRule="auto"/>
        <w:rPr>
          <w:rFonts w:ascii="Calibri" w:eastAsia="Times New Roman" w:hAnsi="Calibri" w:cs="Times New Roman"/>
          <w:bCs/>
          <w:sz w:val="20"/>
          <w:szCs w:val="28"/>
        </w:rPr>
      </w:pPr>
    </w:p>
    <w:p w14:paraId="6224BA7F" w14:textId="3997F1DF" w:rsidR="00594059" w:rsidRDefault="00594059" w:rsidP="00594059">
      <w:pPr>
        <w:spacing w:after="0" w:line="240" w:lineRule="auto"/>
        <w:rPr>
          <w:rFonts w:ascii="Calibri" w:eastAsia="Times New Roman" w:hAnsi="Calibri" w:cs="Times New Roman"/>
          <w:b/>
          <w:sz w:val="24"/>
          <w:szCs w:val="28"/>
        </w:rPr>
      </w:pPr>
      <w:r w:rsidRPr="002A62B7">
        <w:rPr>
          <w:rFonts w:ascii="Calibri" w:eastAsia="Times New Roman" w:hAnsi="Calibri" w:cs="Times New Roman"/>
          <w:b/>
          <w:sz w:val="24"/>
          <w:szCs w:val="28"/>
        </w:rPr>
        <w:t>P</w:t>
      </w:r>
      <w:r w:rsidR="00DB4585">
        <w:rPr>
          <w:rFonts w:ascii="Calibri" w:eastAsia="Times New Roman" w:hAnsi="Calibri" w:cs="Times New Roman"/>
          <w:b/>
          <w:sz w:val="24"/>
          <w:szCs w:val="28"/>
        </w:rPr>
        <w:t>rocedure</w:t>
      </w:r>
      <w:r w:rsidRPr="002A62B7">
        <w:rPr>
          <w:rFonts w:ascii="Calibri" w:eastAsia="Times New Roman" w:hAnsi="Calibri" w:cs="Times New Roman"/>
          <w:b/>
          <w:sz w:val="24"/>
          <w:szCs w:val="28"/>
        </w:rPr>
        <w:t>:</w:t>
      </w:r>
    </w:p>
    <w:p w14:paraId="32FEF50D" w14:textId="77777777" w:rsidR="00B67433" w:rsidRPr="00B67433" w:rsidRDefault="00B67433" w:rsidP="00B67433">
      <w:pPr>
        <w:rPr>
          <w:rFonts w:ascii="Calibri" w:hAnsi="Calibri" w:cs="Calibri"/>
          <w:sz w:val="20"/>
          <w:szCs w:val="20"/>
        </w:rPr>
      </w:pP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provides medication monitoring and management for participants as needed and requested.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staff members are responsible for meeting health service needs including medication-related services of eligible persons as assigned in the Coordinated Service and Support Plan and/or Coordinated Service and Support Plan Addendum.  These services do not include the prescribing or dispensing of medications.  All medications administered at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must have a current order from a physician or qualified professional licensed to prescribe, and this medication order must be reviewed annually if it is to be continued.  Unlicensed staff members must complete medication administration class taught by a registered nurse appropriate to their role and function prior to administering medication.  Any medication error must be promptly reported and the appropriate remediation specific to the medication error will be implemented.   As needed and requested, monitoring will be provided for individuals who self-administer medication.  If medication monitoring includes physical control of medications self-administered by the participant, a physician’s order is required. This includes prescription medications, as well as over-the-counter medications or alternative medications.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will not be responsible for the purchase of medications, pick up of medications from the pharmacy, nor for medication shortages at homes that may occur during times when the participant is not receiving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services. Medications provided to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for administration to participants during the program/</w:t>
      </w:r>
      <w:proofErr w:type="gramStart"/>
      <w:r w:rsidRPr="00B67433">
        <w:rPr>
          <w:rFonts w:ascii="Calibri" w:hAnsi="Calibri" w:cs="Calibri"/>
          <w:sz w:val="20"/>
          <w:szCs w:val="20"/>
        </w:rPr>
        <w:t>work day</w:t>
      </w:r>
      <w:proofErr w:type="gramEnd"/>
      <w:r w:rsidRPr="00B67433">
        <w:rPr>
          <w:rFonts w:ascii="Calibri" w:hAnsi="Calibri" w:cs="Calibri"/>
          <w:sz w:val="20"/>
          <w:szCs w:val="20"/>
        </w:rPr>
        <w:t xml:space="preserve"> should be brought or delivered to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by the home.  If that is not feasible and the medications must be sent with the participant’s transportation, then the securely closed container of medication should be given to the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bus driver, who will deliver it to appropriate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staff. In situations where the transportation provider is not a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employee, the team will decide on the most appropriate delivery method.</w:t>
      </w:r>
    </w:p>
    <w:p w14:paraId="7A0BBAAD" w14:textId="77777777" w:rsidR="00B67433" w:rsidRPr="00B67433" w:rsidRDefault="00B67433" w:rsidP="00B67433">
      <w:pPr>
        <w:rPr>
          <w:rFonts w:ascii="Calibri" w:hAnsi="Calibri" w:cs="Calibri"/>
          <w:sz w:val="20"/>
          <w:szCs w:val="20"/>
        </w:rPr>
      </w:pPr>
      <w:r w:rsidRPr="00B67433">
        <w:rPr>
          <w:rFonts w:ascii="Calibri" w:hAnsi="Calibri" w:cs="Calibri"/>
          <w:sz w:val="20"/>
          <w:szCs w:val="20"/>
        </w:rPr>
        <w:t xml:space="preserve">All controlled substances received at </w:t>
      </w:r>
      <w:proofErr w:type="spellStart"/>
      <w:r w:rsidRPr="00B67433">
        <w:rPr>
          <w:rFonts w:ascii="Calibri" w:hAnsi="Calibri" w:cs="Calibri"/>
          <w:sz w:val="20"/>
          <w:szCs w:val="20"/>
        </w:rPr>
        <w:t>ProAct</w:t>
      </w:r>
      <w:proofErr w:type="spellEnd"/>
      <w:r w:rsidRPr="00B67433">
        <w:rPr>
          <w:rFonts w:ascii="Calibri" w:hAnsi="Calibri" w:cs="Calibri"/>
          <w:sz w:val="20"/>
          <w:szCs w:val="20"/>
        </w:rPr>
        <w:t>, whether administered on a regular schedule or as needed (prn’s) must be counted when received, and the count documented in the participant’s record. That count must match with the number of medications administered from that supply and may also be a guide as to the need to request an additional supply in a timely fashion.</w:t>
      </w:r>
    </w:p>
    <w:p w14:paraId="00FC06A5" w14:textId="03CFB359" w:rsidR="00B67433" w:rsidRPr="00B67433" w:rsidRDefault="00B67433" w:rsidP="00B67433">
      <w:pPr>
        <w:rPr>
          <w:rFonts w:ascii="Calibri" w:hAnsi="Calibri" w:cs="Calibri"/>
          <w:sz w:val="20"/>
          <w:szCs w:val="20"/>
        </w:rPr>
      </w:pPr>
      <w:r w:rsidRPr="00B67433">
        <w:rPr>
          <w:rFonts w:ascii="Calibri" w:hAnsi="Calibri" w:cs="Calibri"/>
          <w:sz w:val="20"/>
          <w:szCs w:val="20"/>
        </w:rPr>
        <w:t xml:space="preserve">Participants will be encouraged to </w:t>
      </w:r>
      <w:proofErr w:type="gramStart"/>
      <w:r w:rsidRPr="00B67433">
        <w:rPr>
          <w:rFonts w:ascii="Calibri" w:hAnsi="Calibri" w:cs="Calibri"/>
          <w:sz w:val="20"/>
          <w:szCs w:val="20"/>
        </w:rPr>
        <w:t>participate in the process of medication administration to the fullest extent</w:t>
      </w:r>
      <w:proofErr w:type="gramEnd"/>
      <w:r w:rsidRPr="00B67433">
        <w:rPr>
          <w:rFonts w:ascii="Calibri" w:hAnsi="Calibri" w:cs="Calibri"/>
          <w:sz w:val="20"/>
          <w:szCs w:val="20"/>
        </w:rPr>
        <w:t xml:space="preserve"> of their abilities, unless otherwise noted in the Coordinated Service and Support Plan and/or Coordinated Service and Support Plan Addendum as well as the ISSA/IAAP. </w:t>
      </w:r>
    </w:p>
    <w:p w14:paraId="20816186" w14:textId="77777777" w:rsidR="00B67433" w:rsidRDefault="00B67433" w:rsidP="00B67433">
      <w:pPr>
        <w:rPr>
          <w:rFonts w:ascii="Calibri" w:hAnsi="Calibri" w:cs="Calibri"/>
          <w:sz w:val="20"/>
          <w:szCs w:val="20"/>
        </w:rPr>
      </w:pP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will obtain written authorization from the participant and/or legal representative to administer medications or treatments, including psychotropic medications, prior to the beginning of services. This authorization will remain in effect unless withdrawn in writing; it may be withdrawn at any time. If authorization by the participant and/or legal representative is refused, </w:t>
      </w:r>
      <w:proofErr w:type="spellStart"/>
      <w:r w:rsidRPr="00B67433">
        <w:rPr>
          <w:rFonts w:ascii="Calibri" w:hAnsi="Calibri" w:cs="Calibri"/>
          <w:sz w:val="20"/>
          <w:szCs w:val="20"/>
        </w:rPr>
        <w:t>ProAct</w:t>
      </w:r>
      <w:proofErr w:type="spellEnd"/>
      <w:r w:rsidRPr="00B67433">
        <w:rPr>
          <w:rFonts w:ascii="Calibri" w:hAnsi="Calibri" w:cs="Calibri"/>
          <w:sz w:val="20"/>
          <w:szCs w:val="20"/>
        </w:rPr>
        <w:t xml:space="preserve"> will not administer the medication or treatment. This refusal will be immediately reported to the person’s prescriber and staff will follow any directives or orders given by the prescriber. </w:t>
      </w:r>
    </w:p>
    <w:p w14:paraId="0F0DD2C4" w14:textId="1725CEF6" w:rsidR="00B67433" w:rsidRPr="00BF47A3" w:rsidRDefault="00B67433" w:rsidP="00B67433">
      <w:r w:rsidRPr="00B67433">
        <w:rPr>
          <w:rFonts w:ascii="Calibri" w:hAnsi="Calibri" w:cs="Calibri"/>
          <w:sz w:val="20"/>
          <w:szCs w:val="20"/>
        </w:rPr>
        <w:lastRenderedPageBreak/>
        <w:t xml:space="preserve">All medications and treatments will be administered according to this policy and procedure and Health Counseling Service’s medication administration training curriculum and Health Counseling </w:t>
      </w:r>
      <w:proofErr w:type="spellStart"/>
      <w:r w:rsidRPr="00B67433">
        <w:rPr>
          <w:rFonts w:ascii="Calibri" w:hAnsi="Calibri" w:cs="Calibri"/>
          <w:sz w:val="20"/>
          <w:szCs w:val="20"/>
        </w:rPr>
        <w:t>Services’s</w:t>
      </w:r>
      <w:proofErr w:type="spellEnd"/>
      <w:r w:rsidRPr="00B67433">
        <w:rPr>
          <w:rFonts w:ascii="Calibri" w:hAnsi="Calibri" w:cs="Calibri"/>
          <w:sz w:val="20"/>
          <w:szCs w:val="20"/>
        </w:rPr>
        <w:t xml:space="preserve"> Medication and Health Care Policy and Procedure Manual</w:t>
      </w:r>
      <w:r>
        <w:t>.</w:t>
      </w:r>
    </w:p>
    <w:p w14:paraId="1526DDB1" w14:textId="77777777" w:rsidR="00B67433" w:rsidRDefault="00B67433" w:rsidP="00594059">
      <w:pPr>
        <w:spacing w:after="0" w:line="240" w:lineRule="auto"/>
        <w:rPr>
          <w:rFonts w:ascii="Calibri" w:eastAsia="Times New Roman" w:hAnsi="Calibri" w:cs="Times New Roman"/>
          <w:b/>
          <w:sz w:val="24"/>
          <w:szCs w:val="28"/>
        </w:rPr>
      </w:pPr>
    </w:p>
    <w:p w14:paraId="5BDA3741" w14:textId="77777777" w:rsidR="0039197D" w:rsidRDefault="0039197D" w:rsidP="00594059">
      <w:pPr>
        <w:spacing w:after="0" w:line="240" w:lineRule="auto"/>
        <w:rPr>
          <w:rFonts w:ascii="Calibri" w:eastAsia="Times New Roman" w:hAnsi="Calibri" w:cs="Times New Roman"/>
          <w:b/>
          <w:sz w:val="24"/>
          <w:szCs w:val="28"/>
        </w:rPr>
      </w:pPr>
    </w:p>
    <w:sectPr w:rsidR="003919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C735" w14:textId="77777777" w:rsidR="00594059" w:rsidRDefault="00594059" w:rsidP="00594059">
      <w:pPr>
        <w:spacing w:after="0" w:line="240" w:lineRule="auto"/>
      </w:pPr>
      <w:r>
        <w:separator/>
      </w:r>
    </w:p>
  </w:endnote>
  <w:endnote w:type="continuationSeparator" w:id="0">
    <w:p w14:paraId="62C7B619" w14:textId="77777777" w:rsidR="00594059" w:rsidRDefault="00594059" w:rsidP="0059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1AFD" w14:textId="77777777" w:rsidR="00594059" w:rsidRDefault="00594059" w:rsidP="00594059">
      <w:pPr>
        <w:spacing w:after="0" w:line="240" w:lineRule="auto"/>
      </w:pPr>
      <w:r>
        <w:separator/>
      </w:r>
    </w:p>
  </w:footnote>
  <w:footnote w:type="continuationSeparator" w:id="0">
    <w:p w14:paraId="213F01CF" w14:textId="77777777" w:rsidR="00594059" w:rsidRDefault="00594059" w:rsidP="0059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3494" w14:textId="77777777" w:rsidR="00594059" w:rsidRPr="00594059" w:rsidRDefault="00594059" w:rsidP="00594059">
    <w:pPr>
      <w:pStyle w:val="Header"/>
      <w:rPr>
        <w:rFonts w:ascii="Arial Narrow" w:hAnsi="Arial Narrow"/>
        <w:sz w:val="28"/>
        <w:szCs w:val="28"/>
      </w:rPr>
    </w:pPr>
    <w:r>
      <w:rPr>
        <w:noProof/>
      </w:rPr>
      <w:drawing>
        <wp:anchor distT="0" distB="0" distL="114300" distR="114300" simplePos="0" relativeHeight="251659264" behindDoc="0" locked="0" layoutInCell="1" allowOverlap="1" wp14:anchorId="3C81CB87" wp14:editId="5A69C2F2">
          <wp:simplePos x="0" y="0"/>
          <wp:positionH relativeFrom="column">
            <wp:posOffset>0</wp:posOffset>
          </wp:positionH>
          <wp:positionV relativeFrom="paragraph">
            <wp:posOffset>0</wp:posOffset>
          </wp:positionV>
          <wp:extent cx="521970" cy="414966"/>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Ac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 cy="414966"/>
                  </a:xfrm>
                  <a:prstGeom prst="rect">
                    <a:avLst/>
                  </a:prstGeom>
                </pic:spPr>
              </pic:pic>
            </a:graphicData>
          </a:graphic>
          <wp14:sizeRelH relativeFrom="page">
            <wp14:pctWidth>0</wp14:pctWidth>
          </wp14:sizeRelH>
          <wp14:sizeRelV relativeFrom="page">
            <wp14:pctHeight>0</wp14:pctHeight>
          </wp14:sizeRelV>
        </wp:anchor>
      </w:drawing>
    </w:r>
    <w:r w:rsidRPr="00970078">
      <w:rPr>
        <w:rFonts w:ascii="Calibri" w:hAnsi="Calibri"/>
        <w:szCs w:val="28"/>
      </w:rPr>
      <w:t xml:space="preserve"> </w:t>
    </w:r>
    <w:r>
      <w:rPr>
        <w:rFonts w:ascii="Calibri" w:hAnsi="Calibri"/>
        <w:szCs w:val="28"/>
      </w:rPr>
      <w:tab/>
      <w:t xml:space="preserve">                                                                                                          </w:t>
    </w:r>
    <w:r>
      <w:rPr>
        <w:rFonts w:ascii="Calibri" w:hAnsi="Calibri"/>
        <w:szCs w:val="28"/>
      </w:rPr>
      <w:tab/>
    </w:r>
    <w:r>
      <w:rPr>
        <w:rFonts w:ascii="Calibri" w:hAnsi="Calibri"/>
        <w:szCs w:val="28"/>
      </w:rPr>
      <w:tab/>
      <w:t xml:space="preserve"> </w:t>
    </w:r>
    <w:proofErr w:type="spellStart"/>
    <w:r w:rsidRPr="00970078">
      <w:rPr>
        <w:rFonts w:ascii="Arial Narrow" w:hAnsi="Arial Narrow"/>
        <w:szCs w:val="28"/>
      </w:rPr>
      <w:t>ProAct</w:t>
    </w:r>
    <w:proofErr w:type="spellEnd"/>
    <w:r w:rsidRPr="00970078">
      <w:rPr>
        <w:rFonts w:ascii="Arial Narrow" w:hAnsi="Arial Narrow"/>
        <w:szCs w:val="28"/>
      </w:rPr>
      <w:t>, Inc</w:t>
    </w:r>
    <w:r w:rsidRPr="00970078">
      <w:rPr>
        <w:rFonts w:ascii="Arial Narrow" w:hAnsi="Arial Narrow"/>
        <w:sz w:val="28"/>
        <w:szCs w:val="28"/>
      </w:rPr>
      <w:t>.</w:t>
    </w:r>
    <w:r w:rsidRPr="00970078">
      <w:rPr>
        <w:rFonts w:ascii="Arial Narrow" w:hAnsi="Arial Narrow"/>
        <w:sz w:val="20"/>
      </w:rPr>
      <w:t xml:space="preserve">    </w:t>
    </w:r>
  </w:p>
  <w:p w14:paraId="35BCD32E" w14:textId="77777777" w:rsidR="00594059" w:rsidRDefault="0059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5999"/>
    <w:multiLevelType w:val="hybridMultilevel"/>
    <w:tmpl w:val="6C60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59"/>
    <w:rsid w:val="00020082"/>
    <w:rsid w:val="000D20EB"/>
    <w:rsid w:val="0039197D"/>
    <w:rsid w:val="004848DE"/>
    <w:rsid w:val="00594059"/>
    <w:rsid w:val="007E7D7C"/>
    <w:rsid w:val="00B67433"/>
    <w:rsid w:val="00C173FB"/>
    <w:rsid w:val="00DB4585"/>
    <w:rsid w:val="00DD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4808"/>
  <w15:docId w15:val="{E809014E-C050-4500-A091-B858FB74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59"/>
    <w:pPr>
      <w:spacing w:after="160" w:line="259" w:lineRule="auto"/>
    </w:pPr>
  </w:style>
  <w:style w:type="paragraph" w:styleId="Heading1">
    <w:name w:val="heading 1"/>
    <w:basedOn w:val="Normal"/>
    <w:next w:val="Normal"/>
    <w:link w:val="Heading1Char"/>
    <w:qFormat/>
    <w:rsid w:val="0059405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059"/>
  </w:style>
  <w:style w:type="paragraph" w:styleId="Footer">
    <w:name w:val="footer"/>
    <w:basedOn w:val="Normal"/>
    <w:link w:val="FooterChar"/>
    <w:uiPriority w:val="99"/>
    <w:unhideWhenUsed/>
    <w:rsid w:val="0059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59"/>
  </w:style>
  <w:style w:type="paragraph" w:styleId="BalloonText">
    <w:name w:val="Balloon Text"/>
    <w:basedOn w:val="Normal"/>
    <w:link w:val="BalloonTextChar"/>
    <w:uiPriority w:val="99"/>
    <w:semiHidden/>
    <w:unhideWhenUsed/>
    <w:rsid w:val="0059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59"/>
    <w:rPr>
      <w:rFonts w:ascii="Tahoma" w:hAnsi="Tahoma" w:cs="Tahoma"/>
      <w:sz w:val="16"/>
      <w:szCs w:val="16"/>
    </w:rPr>
  </w:style>
  <w:style w:type="character" w:customStyle="1" w:styleId="Heading1Char">
    <w:name w:val="Heading 1 Char"/>
    <w:basedOn w:val="DefaultParagraphFont"/>
    <w:link w:val="Heading1"/>
    <w:rsid w:val="00594059"/>
    <w:rPr>
      <w:rFonts w:ascii="Arial" w:eastAsia="Times New Roman" w:hAnsi="Arial" w:cs="Arial"/>
      <w:b/>
      <w:bCs/>
      <w:kern w:val="32"/>
      <w:sz w:val="32"/>
      <w:szCs w:val="32"/>
    </w:rPr>
  </w:style>
  <w:style w:type="paragraph" w:styleId="ListParagraph">
    <w:name w:val="List Paragraph"/>
    <w:basedOn w:val="Normal"/>
    <w:uiPriority w:val="34"/>
    <w:qFormat/>
    <w:rsid w:val="007E7D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77D2-73EB-4B62-B121-ECFEDD66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ProAct Inc</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Cowles</dc:creator>
  <cp:lastModifiedBy>Doug Cowles</cp:lastModifiedBy>
  <cp:revision>2</cp:revision>
  <dcterms:created xsi:type="dcterms:W3CDTF">2021-11-16T21:03:00Z</dcterms:created>
  <dcterms:modified xsi:type="dcterms:W3CDTF">2021-11-16T21:03:00Z</dcterms:modified>
</cp:coreProperties>
</file>